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F192" w14:textId="77777777" w:rsidR="004E5775" w:rsidRDefault="004E5775" w:rsidP="009C10B7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</w:p>
    <w:p w14:paraId="5F857892" w14:textId="6AF02115" w:rsidR="00AD2835" w:rsidRPr="00AD2835" w:rsidRDefault="00AD2835" w:rsidP="009C10B7">
      <w:pP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it-IT"/>
        </w:rPr>
      </w:pPr>
      <w:bookmarkStart w:id="0" w:name="_Hlk122188152"/>
      <w:r w:rsidRPr="00AD2835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it-IT"/>
        </w:rPr>
        <w:t>MARIO MORCELLINI</w:t>
      </w:r>
    </w:p>
    <w:p w14:paraId="5EA6747B" w14:textId="18D5DCD4" w:rsidR="004E5775" w:rsidRDefault="00E11C43" w:rsidP="009C10B7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CURRICULUM VITAE ET STUDIORUM</w:t>
      </w:r>
    </w:p>
    <w:p w14:paraId="5E20B8B5" w14:textId="77777777" w:rsidR="004E5775" w:rsidRDefault="004E5775" w:rsidP="009C10B7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</w:p>
    <w:p w14:paraId="647924A9" w14:textId="77777777" w:rsidR="008674BD" w:rsidRDefault="00CC3C27" w:rsidP="00FA7BAE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Professore emerito in Sociologia de</w:t>
      </w:r>
      <w:r w:rsidR="00AE20AF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lla Cultura e della Comunicazione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,</w:t>
      </w:r>
      <w:r w:rsidR="009C10B7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è attualmente </w:t>
      </w:r>
      <w:r w:rsidR="00ED1A86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Presidente del Nucleo di Valutazione d’Ateneo dell’Università di Salerno e</w:t>
      </w:r>
      <w:r w:rsidR="009F5C1D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,</w:t>
      </w:r>
      <w:r w:rsidR="00A64CE6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A64CE6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it-IT"/>
        </w:rPr>
        <w:t>ad honorem</w:t>
      </w:r>
      <w:r w:rsidR="00A64CE6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, </w:t>
      </w:r>
      <w:r w:rsidR="009C10B7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della Conferenza Nazionale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9C10B7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d</w:t>
      </w:r>
      <w:r w:rsid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ei</w:t>
      </w:r>
      <w:r w:rsidR="009C10B7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Corsi in Scienze della Comunicazione</w:t>
      </w:r>
      <w:r w:rsid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.</w:t>
      </w:r>
      <w:r w:rsidR="0064056C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</w:p>
    <w:p w14:paraId="77D6A190" w14:textId="5743F0C9" w:rsidR="00026A70" w:rsidRDefault="00402183" w:rsidP="00FA7BAE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E’ Componente del Comitato di Indirizzo della Fondazione Roma Sapienza.</w:t>
      </w:r>
    </w:p>
    <w:p w14:paraId="018EC3F8" w14:textId="54DA0FD1" w:rsidR="00591B8A" w:rsidRDefault="00700A62" w:rsidP="00FA7BAE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P</w:t>
      </w:r>
      <w:r w:rsidR="004573C8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e</w:t>
      </w:r>
      <w:r w:rsidR="00D44FBF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r due mandati</w:t>
      </w:r>
      <w:r w:rsidR="002C5229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E75BFB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è stato </w:t>
      </w:r>
      <w:r w:rsidR="004573C8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Direttore del Dipartimento di Comunicazione e Ricerca sociale e, prima ancora, Preside della Facoltà di Scienze della Comunicazione</w:t>
      </w:r>
      <w:r w:rsidR="006C356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, che ha fonda</w:t>
      </w:r>
      <w:r w:rsidR="002D177D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to</w:t>
      </w:r>
      <w:r w:rsidR="006C356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.</w:t>
      </w:r>
      <w:r w:rsidR="002C4AAD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39593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Fino al 2016 ha presieduto il</w:t>
      </w:r>
      <w:r w:rsidR="0039593E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Comitato di Controllo e </w:t>
      </w:r>
      <w:r w:rsidR="0039593E" w:rsidRPr="009C10B7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it-IT"/>
        </w:rPr>
        <w:t>Corporate Governance</w:t>
      </w:r>
      <w:r w:rsidR="0039593E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di AUDITE</w:t>
      </w:r>
      <w:r w:rsidR="0039593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L. </w:t>
      </w:r>
      <w:r w:rsidR="0039593E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Nello stesso periodo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,</w:t>
      </w:r>
      <w:r w:rsidR="0039593E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64056C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è stato</w:t>
      </w:r>
      <w:r w:rsidR="00E75BFB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nominato</w:t>
      </w:r>
      <w:r w:rsidR="0064056C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Pr="00700A62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Prorettore alla Comunicazione Istituzionale e</w:t>
      </w:r>
      <w:r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2C4AAD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Portavoce del Rettore</w:t>
      </w:r>
      <w:r w:rsidR="0039593E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.</w:t>
      </w:r>
      <w:r w:rsidR="00591B8A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39593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Nel 2016 il </w:t>
      </w:r>
      <w:r w:rsidR="00641D31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Senato</w:t>
      </w:r>
      <w:r w:rsidR="0039593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della Repubblica lo ha eletto </w:t>
      </w:r>
      <w:r w:rsidR="00844A48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Commissario dell’Autorità per le </w:t>
      </w:r>
      <w:r w:rsidR="00844A48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G</w:t>
      </w:r>
      <w:r w:rsidR="00844A48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aranzie nelle </w:t>
      </w:r>
      <w:r w:rsidR="00844A48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C</w:t>
      </w:r>
      <w:r w:rsidR="00844A48" w:rsidRPr="009C10B7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omunicazioni (Agcom</w:t>
      </w:r>
      <w:r w:rsidR="00844A48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), </w:t>
      </w:r>
      <w:r w:rsidR="002D47A5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ruolo che ha rivestito fino alla conclusione del mandato, nel 2020.</w:t>
      </w:r>
      <w:r w:rsidR="00FA7BA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</w:p>
    <w:p w14:paraId="3D65E9F6" w14:textId="6616F117" w:rsidR="00FA7BAE" w:rsidRDefault="00FA7BAE" w:rsidP="00FA7BAE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  <w:r w:rsidRPr="00FA7BAE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Svolge attività di docenza nell'ambito dei Corsi di Alta Formazione presso la Scuola di Perfezionamento per le Forze di Polizia, organismo apicale di formazione e ricerca per Funzionari ed Ufficiali superiori delle Forze di Polizia italiane. In questo contesto ha fondato e diretto il Master Universitario in "Sicurezza, Coordinamento Interforze e Cooperazione Internazionale".</w:t>
      </w:r>
    </w:p>
    <w:bookmarkEnd w:id="0"/>
    <w:p w14:paraId="21977C43" w14:textId="64C29B95" w:rsidR="00147598" w:rsidRDefault="00AD2835" w:rsidP="00FA7BAE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Ha pubblicato un alto numero di monografie su </w:t>
      </w:r>
      <w:r w:rsidR="004E427D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comunicazione,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giornalismo, reti digitali, </w:t>
      </w:r>
      <w:r w:rsidR="004E427D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educazione ai media </w:t>
      </w:r>
      <w:r w:rsidR="00507A63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e</w:t>
      </w:r>
      <w:r w:rsidR="004E427D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proofErr w:type="spellStart"/>
      <w:r w:rsidR="004E427D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it-IT"/>
        </w:rPr>
        <w:t>political</w:t>
      </w:r>
      <w:proofErr w:type="spellEnd"/>
      <w:r w:rsidR="004E427D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it-IT"/>
        </w:rPr>
        <w:t xml:space="preserve"> </w:t>
      </w:r>
      <w:proofErr w:type="spellStart"/>
      <w:r w:rsidR="004E427D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it-IT"/>
        </w:rPr>
        <w:t>communication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.</w:t>
      </w:r>
      <w:r w:rsidR="00667778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 </w:t>
      </w:r>
      <w:r w:rsidR="004B3B25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S</w:t>
      </w:r>
      <w:r w:rsidR="00115165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i è occupato delle interazioni tra media, emergenze e salute durante e dopo il Covid 19</w:t>
      </w:r>
      <w:r w:rsidR="004B3B25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, partecipando fra l’altro agli “Stati generali della comunicazione per la salute” e a varie pubblicazioni scientifiche anche per il CNR.</w:t>
      </w:r>
    </w:p>
    <w:p w14:paraId="174921B8" w14:textId="77777777" w:rsidR="004B3B25" w:rsidRDefault="004B3B25" w:rsidP="00FA7BAE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</w:p>
    <w:p w14:paraId="56CB8274" w14:textId="040F3CE0" w:rsidR="00AD2835" w:rsidRDefault="00327915" w:rsidP="00FA7BAE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Tra </w:t>
      </w:r>
      <w:r w:rsidR="00115165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>i suoi testi</w:t>
      </w:r>
      <w:r w:rsidR="00667778">
        <w:rPr>
          <w:rFonts w:ascii="Arial" w:hAnsi="Arial" w:cs="Arial"/>
          <w:color w:val="222222"/>
          <w:sz w:val="27"/>
          <w:szCs w:val="27"/>
          <w:shd w:val="clear" w:color="auto" w:fill="FFFFFF"/>
          <w:lang w:val="it-IT"/>
        </w:rPr>
        <w:t xml:space="preserve">: </w:t>
      </w:r>
    </w:p>
    <w:p w14:paraId="11E70FD4" w14:textId="77777777" w:rsidR="00147598" w:rsidRDefault="00147598" w:rsidP="00667778">
      <w:pPr>
        <w:pStyle w:val="Corpodeltesto2"/>
        <w:ind w:right="0"/>
        <w:jc w:val="both"/>
        <w:rPr>
          <w:rFonts w:ascii="Arial" w:hAnsi="Arial" w:cs="Arial"/>
          <w:bCs/>
          <w:i/>
          <w:iCs/>
          <w:sz w:val="27"/>
          <w:szCs w:val="27"/>
          <w:lang w:val="it-IT"/>
        </w:rPr>
      </w:pPr>
    </w:p>
    <w:p w14:paraId="319BEB1D" w14:textId="62C8C9F8" w:rsidR="00327915" w:rsidRPr="00DD25FB" w:rsidRDefault="00327915" w:rsidP="00667778">
      <w:pPr>
        <w:pStyle w:val="Corpodeltesto2"/>
        <w:ind w:right="0"/>
        <w:jc w:val="both"/>
        <w:rPr>
          <w:rFonts w:ascii="Arial" w:hAnsi="Arial" w:cs="Arial"/>
          <w:bCs/>
          <w:i/>
          <w:iCs/>
          <w:sz w:val="24"/>
          <w:szCs w:val="24"/>
          <w:lang w:val="it-IT"/>
        </w:rPr>
      </w:pP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 Il Digitale fa bene ai bambini?, </w:t>
      </w:r>
      <w:r w:rsidRPr="00F0104B">
        <w:rPr>
          <w:rFonts w:ascii="Arial" w:hAnsi="Arial" w:cs="Arial"/>
          <w:bCs/>
          <w:sz w:val="24"/>
          <w:szCs w:val="24"/>
          <w:lang w:val="it-IT"/>
        </w:rPr>
        <w:t>Meltemi, Roma 2024</w:t>
      </w:r>
      <w:r w:rsidR="00DD25FB">
        <w:rPr>
          <w:rFonts w:ascii="Arial" w:hAnsi="Arial" w:cs="Arial"/>
          <w:bCs/>
          <w:i/>
          <w:iCs/>
          <w:sz w:val="24"/>
          <w:szCs w:val="24"/>
          <w:lang w:val="it-IT"/>
        </w:rPr>
        <w:t>;</w:t>
      </w:r>
    </w:p>
    <w:p w14:paraId="5EFF2C18" w14:textId="77777777" w:rsidR="00327915" w:rsidRPr="00DD25FB" w:rsidRDefault="00327915" w:rsidP="00667778">
      <w:pPr>
        <w:pStyle w:val="Corpodeltesto2"/>
        <w:ind w:right="0"/>
        <w:jc w:val="both"/>
        <w:rPr>
          <w:rFonts w:ascii="Arial" w:hAnsi="Arial" w:cs="Arial"/>
          <w:bCs/>
          <w:i/>
          <w:iCs/>
          <w:sz w:val="24"/>
          <w:szCs w:val="24"/>
          <w:lang w:val="it-IT"/>
        </w:rPr>
      </w:pPr>
    </w:p>
    <w:p w14:paraId="017DCB20" w14:textId="4BF91046" w:rsidR="00327915" w:rsidRPr="00DD25FB" w:rsidRDefault="00327915" w:rsidP="00327915">
      <w:pPr>
        <w:pStyle w:val="Corpodeltesto2"/>
        <w:ind w:right="0"/>
        <w:jc w:val="both"/>
        <w:rPr>
          <w:rFonts w:ascii="Arial" w:hAnsi="Arial" w:cs="Arial"/>
          <w:bCs/>
          <w:i/>
          <w:iCs/>
          <w:sz w:val="24"/>
          <w:szCs w:val="24"/>
          <w:lang w:val="it-IT"/>
        </w:rPr>
      </w:pP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 “Difendere il futuro. Oltre la povertà educativa e digitale”</w:t>
      </w:r>
      <w:r w:rsidR="00DD25FB"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>,</w:t>
      </w: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 </w:t>
      </w:r>
      <w:proofErr w:type="spellStart"/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>Comunicazionepuntodoc</w:t>
      </w:r>
      <w:proofErr w:type="spellEnd"/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 (27/2023)</w:t>
      </w:r>
      <w:r w:rsidR="00DD25FB">
        <w:rPr>
          <w:rFonts w:ascii="Arial" w:hAnsi="Arial" w:cs="Arial"/>
          <w:bCs/>
          <w:i/>
          <w:iCs/>
          <w:sz w:val="24"/>
          <w:szCs w:val="24"/>
          <w:lang w:val="it-IT"/>
        </w:rPr>
        <w:t>;</w:t>
      </w: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 </w:t>
      </w:r>
    </w:p>
    <w:p w14:paraId="30C2FFC4" w14:textId="77777777" w:rsidR="00327915" w:rsidRPr="00DD25FB" w:rsidRDefault="00327915" w:rsidP="00667778">
      <w:pPr>
        <w:pStyle w:val="Corpodeltesto2"/>
        <w:ind w:right="0"/>
        <w:jc w:val="both"/>
        <w:rPr>
          <w:rFonts w:ascii="Arial" w:hAnsi="Arial" w:cs="Arial"/>
          <w:bCs/>
          <w:i/>
          <w:iCs/>
          <w:sz w:val="24"/>
          <w:szCs w:val="24"/>
          <w:lang w:val="it-IT"/>
        </w:rPr>
      </w:pPr>
    </w:p>
    <w:p w14:paraId="3D46EE88" w14:textId="03D63BA1" w:rsidR="00327915" w:rsidRPr="00DD25FB" w:rsidRDefault="00327915" w:rsidP="00667778">
      <w:pPr>
        <w:pStyle w:val="Corpodeltesto2"/>
        <w:ind w:right="0"/>
        <w:jc w:val="both"/>
        <w:rPr>
          <w:rFonts w:ascii="Arial" w:hAnsi="Arial" w:cs="Arial"/>
          <w:bCs/>
          <w:i/>
          <w:iCs/>
          <w:sz w:val="24"/>
          <w:szCs w:val="24"/>
          <w:lang w:val="it-IT"/>
        </w:rPr>
      </w:pP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>“Giovani e società. Fine della trasmissione?”</w:t>
      </w:r>
      <w:r w:rsidRPr="00DD25FB">
        <w:rPr>
          <w:rFonts w:ascii="Arial" w:hAnsi="Arial" w:cs="Arial"/>
          <w:bCs/>
          <w:sz w:val="24"/>
          <w:szCs w:val="24"/>
          <w:lang w:val="it-IT"/>
        </w:rPr>
        <w:t>,</w:t>
      </w: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 </w:t>
      </w:r>
      <w:proofErr w:type="spellStart"/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>Paradoxa</w:t>
      </w:r>
      <w:proofErr w:type="spellEnd"/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 (4/2022)</w:t>
      </w:r>
      <w:r w:rsidR="00DD25FB">
        <w:rPr>
          <w:rFonts w:ascii="Arial" w:hAnsi="Arial" w:cs="Arial"/>
          <w:bCs/>
          <w:i/>
          <w:iCs/>
          <w:sz w:val="24"/>
          <w:szCs w:val="24"/>
          <w:lang w:val="it-IT"/>
        </w:rPr>
        <w:t>;</w:t>
      </w:r>
    </w:p>
    <w:p w14:paraId="7162CEC8" w14:textId="77777777" w:rsidR="00327915" w:rsidRPr="00DD25FB" w:rsidRDefault="00327915" w:rsidP="00667778">
      <w:pPr>
        <w:pStyle w:val="Corpodeltesto2"/>
        <w:ind w:right="0"/>
        <w:jc w:val="both"/>
        <w:rPr>
          <w:rFonts w:ascii="Arial" w:hAnsi="Arial" w:cs="Arial"/>
          <w:bCs/>
          <w:i/>
          <w:iCs/>
          <w:sz w:val="24"/>
          <w:szCs w:val="24"/>
          <w:lang w:val="it-IT"/>
        </w:rPr>
      </w:pPr>
    </w:p>
    <w:p w14:paraId="05282613" w14:textId="6539B1B1" w:rsidR="00907C6B" w:rsidRPr="00DD25FB" w:rsidRDefault="00667778" w:rsidP="00667778">
      <w:pPr>
        <w:pStyle w:val="Corpodeltesto2"/>
        <w:ind w:right="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>Antivirus. Una società senza sistemi immunitari</w:t>
      </w:r>
      <w:r w:rsidRPr="00DD25FB">
        <w:rPr>
          <w:rFonts w:ascii="Arial" w:hAnsi="Arial" w:cs="Arial"/>
          <w:bCs/>
          <w:sz w:val="24"/>
          <w:szCs w:val="24"/>
          <w:lang w:val="it-IT"/>
        </w:rPr>
        <w:t>, Castelvecchi, Roma 2020 (Prefazione di Maurizio Costanzo);</w:t>
      </w:r>
    </w:p>
    <w:p w14:paraId="1100C875" w14:textId="77777777" w:rsidR="00907C6B" w:rsidRPr="00DD25FB" w:rsidRDefault="00907C6B" w:rsidP="00667778">
      <w:pPr>
        <w:pStyle w:val="Corpodeltesto2"/>
        <w:ind w:right="0"/>
        <w:jc w:val="both"/>
        <w:rPr>
          <w:rFonts w:ascii="Arial" w:hAnsi="Arial" w:cs="Arial"/>
          <w:bCs/>
          <w:sz w:val="24"/>
          <w:szCs w:val="24"/>
          <w:lang w:val="it-IT"/>
        </w:rPr>
      </w:pPr>
    </w:p>
    <w:p w14:paraId="6741FD2E" w14:textId="699AB8DB" w:rsidR="00907C6B" w:rsidRPr="00DD25FB" w:rsidRDefault="00907C6B" w:rsidP="00907C6B">
      <w:pPr>
        <w:rPr>
          <w:rFonts w:ascii="Arial" w:hAnsi="Arial" w:cs="Arial"/>
          <w:iCs/>
          <w:sz w:val="24"/>
          <w:szCs w:val="24"/>
          <w:lang w:val="it-IT"/>
        </w:rPr>
      </w:pPr>
      <w:r w:rsidRPr="00DD25FB">
        <w:rPr>
          <w:rFonts w:ascii="Arial" w:hAnsi="Arial" w:cs="Arial"/>
          <w:i/>
          <w:sz w:val="24"/>
          <w:szCs w:val="24"/>
          <w:lang w:val="it-IT"/>
        </w:rPr>
        <w:t xml:space="preserve">Il </w:t>
      </w:r>
      <w:proofErr w:type="spellStart"/>
      <w:r w:rsidRPr="00DD25FB">
        <w:rPr>
          <w:rFonts w:ascii="Arial" w:hAnsi="Arial" w:cs="Arial"/>
          <w:i/>
          <w:sz w:val="24"/>
          <w:szCs w:val="24"/>
          <w:lang w:val="it-IT"/>
        </w:rPr>
        <w:t>Mediaevo</w:t>
      </w:r>
      <w:proofErr w:type="spellEnd"/>
      <w:r w:rsidRPr="00DD25FB">
        <w:rPr>
          <w:rFonts w:ascii="Arial" w:hAnsi="Arial" w:cs="Arial"/>
          <w:i/>
          <w:sz w:val="24"/>
          <w:szCs w:val="24"/>
          <w:lang w:val="it-IT"/>
        </w:rPr>
        <w:t xml:space="preserve"> italiano. Industria culturale, TV e tecnologie tra XX e XXI secolo</w:t>
      </w:r>
      <w:r w:rsidRPr="00DD25FB">
        <w:rPr>
          <w:rFonts w:ascii="Arial" w:hAnsi="Arial" w:cs="Arial"/>
          <w:iCs/>
          <w:sz w:val="24"/>
          <w:szCs w:val="24"/>
          <w:lang w:val="it-IT"/>
        </w:rPr>
        <w:t>, Carocci, Roma 2020;</w:t>
      </w:r>
    </w:p>
    <w:p w14:paraId="719AB232" w14:textId="56B326F1" w:rsidR="003B5BD9" w:rsidRPr="00DD25FB" w:rsidRDefault="003B5BD9" w:rsidP="00667778">
      <w:pPr>
        <w:pStyle w:val="Corpodeltesto2"/>
        <w:ind w:right="0"/>
        <w:jc w:val="both"/>
        <w:rPr>
          <w:rFonts w:ascii="Arial" w:hAnsi="Arial" w:cs="Arial"/>
          <w:bCs/>
          <w:sz w:val="24"/>
          <w:szCs w:val="24"/>
          <w:lang w:val="it-IT"/>
        </w:rPr>
      </w:pPr>
    </w:p>
    <w:p w14:paraId="31E9D247" w14:textId="6827F5B1" w:rsidR="003B5BD9" w:rsidRPr="00DD25FB" w:rsidRDefault="003B5BD9" w:rsidP="00667778">
      <w:pPr>
        <w:pStyle w:val="Corpodeltesto2"/>
        <w:ind w:right="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>L’essenziale è visibile agli occhi</w:t>
      </w:r>
      <w:r w:rsidR="00210339" w:rsidRPr="00DD25FB">
        <w:rPr>
          <w:rFonts w:ascii="Arial" w:hAnsi="Arial" w:cs="Arial"/>
          <w:bCs/>
          <w:i/>
          <w:iCs/>
          <w:sz w:val="24"/>
          <w:szCs w:val="24"/>
          <w:lang w:val="it-IT"/>
        </w:rPr>
        <w:t xml:space="preserve">, </w:t>
      </w:r>
      <w:r w:rsidR="00210339" w:rsidRPr="00DD25FB">
        <w:rPr>
          <w:rFonts w:ascii="Arial" w:hAnsi="Arial" w:cs="Arial"/>
          <w:bCs/>
          <w:sz w:val="24"/>
          <w:szCs w:val="24"/>
          <w:lang w:val="it-IT"/>
        </w:rPr>
        <w:t>Editoriale scientifica, Napoli 2018;</w:t>
      </w:r>
    </w:p>
    <w:p w14:paraId="0DF2417E" w14:textId="77777777" w:rsidR="00667778" w:rsidRPr="00DD25FB" w:rsidRDefault="00667778" w:rsidP="00667778">
      <w:pPr>
        <w:pStyle w:val="Corpodeltesto2"/>
        <w:ind w:right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</w:p>
    <w:p w14:paraId="4CBA2E7E" w14:textId="2B35590F" w:rsidR="00667778" w:rsidRPr="00DD25FB" w:rsidRDefault="00667778" w:rsidP="00667778">
      <w:pPr>
        <w:pStyle w:val="Corpodeltesto2"/>
        <w:ind w:right="0"/>
        <w:jc w:val="both"/>
        <w:rPr>
          <w:rFonts w:ascii="Arial" w:hAnsi="Arial" w:cs="Arial"/>
          <w:sz w:val="24"/>
          <w:szCs w:val="24"/>
          <w:lang w:val="it-IT"/>
        </w:rPr>
      </w:pPr>
      <w:r w:rsidRPr="00DD25FB">
        <w:rPr>
          <w:rFonts w:ascii="Arial" w:hAnsi="Arial" w:cs="Arial"/>
          <w:i/>
          <w:sz w:val="24"/>
          <w:szCs w:val="24"/>
        </w:rPr>
        <w:t xml:space="preserve">Comunicazione e media, </w:t>
      </w:r>
      <w:r w:rsidRPr="00DD25FB">
        <w:rPr>
          <w:rFonts w:ascii="Arial" w:hAnsi="Arial" w:cs="Arial"/>
          <w:sz w:val="24"/>
          <w:szCs w:val="24"/>
        </w:rPr>
        <w:t xml:space="preserve">Egea, </w:t>
      </w:r>
      <w:r w:rsidRPr="00DD25FB">
        <w:rPr>
          <w:rFonts w:ascii="Arial" w:hAnsi="Arial" w:cs="Arial"/>
          <w:sz w:val="24"/>
          <w:szCs w:val="24"/>
          <w:lang w:val="it-IT"/>
        </w:rPr>
        <w:t>Milano 2013;</w:t>
      </w:r>
    </w:p>
    <w:p w14:paraId="38A66AB1" w14:textId="6357E4C3" w:rsidR="00907C6B" w:rsidRPr="00DD25FB" w:rsidRDefault="00907C6B" w:rsidP="00667778">
      <w:pPr>
        <w:pStyle w:val="Corpodeltesto2"/>
        <w:ind w:right="0"/>
        <w:jc w:val="both"/>
        <w:rPr>
          <w:rFonts w:ascii="Arial" w:hAnsi="Arial" w:cs="Arial"/>
          <w:sz w:val="24"/>
          <w:szCs w:val="24"/>
          <w:lang w:val="it-IT"/>
        </w:rPr>
      </w:pPr>
    </w:p>
    <w:p w14:paraId="3DEFEC39" w14:textId="74C88CD2" w:rsidR="00907C6B" w:rsidRPr="00DD25FB" w:rsidRDefault="00907C6B" w:rsidP="00907C6B">
      <w:pPr>
        <w:rPr>
          <w:rFonts w:ascii="Arial" w:hAnsi="Arial" w:cs="Arial"/>
          <w:sz w:val="24"/>
          <w:szCs w:val="24"/>
          <w:lang w:val="it-IT"/>
        </w:rPr>
      </w:pPr>
      <w:r w:rsidRPr="00DD25FB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it-IT"/>
        </w:rPr>
        <w:t>Il Papa dei gesti</w:t>
      </w:r>
      <w:r w:rsidRPr="00DD25FB">
        <w:rPr>
          <w:rFonts w:ascii="Arial" w:hAnsi="Arial" w:cs="Arial"/>
          <w:i/>
          <w:sz w:val="24"/>
          <w:szCs w:val="24"/>
          <w:lang w:val="it-IT"/>
        </w:rPr>
        <w:t>. Segni e parole di una enciclica mai scritta</w:t>
      </w:r>
      <w:r w:rsidRPr="00DD25FB">
        <w:rPr>
          <w:rFonts w:ascii="Arial" w:hAnsi="Arial" w:cs="Arial"/>
          <w:iCs/>
          <w:sz w:val="24"/>
          <w:szCs w:val="24"/>
          <w:lang w:val="it-IT"/>
        </w:rPr>
        <w:t>", ERI, Torino 2003;</w:t>
      </w:r>
    </w:p>
    <w:p w14:paraId="70D9FEB0" w14:textId="77777777" w:rsidR="00667778" w:rsidRPr="00DD25FB" w:rsidRDefault="00667778" w:rsidP="00667778">
      <w:pPr>
        <w:pStyle w:val="Corpodeltesto2"/>
        <w:ind w:right="0"/>
        <w:jc w:val="both"/>
        <w:rPr>
          <w:rFonts w:ascii="Arial" w:hAnsi="Arial" w:cs="Arial"/>
          <w:b/>
          <w:sz w:val="24"/>
          <w:szCs w:val="24"/>
        </w:rPr>
      </w:pPr>
    </w:p>
    <w:p w14:paraId="07875099" w14:textId="47FBCB70" w:rsidR="00667778" w:rsidRPr="00DD25FB" w:rsidRDefault="00667778" w:rsidP="00667778">
      <w:pPr>
        <w:pStyle w:val="Corpodeltesto2"/>
        <w:ind w:right="0"/>
        <w:jc w:val="both"/>
        <w:rPr>
          <w:rFonts w:ascii="Arial" w:hAnsi="Arial" w:cs="Arial"/>
          <w:sz w:val="24"/>
          <w:szCs w:val="24"/>
          <w:lang w:val="it-IT"/>
        </w:rPr>
      </w:pPr>
      <w:r w:rsidRPr="00DD25FB">
        <w:rPr>
          <w:rFonts w:ascii="Arial" w:hAnsi="Arial" w:cs="Arial"/>
          <w:i/>
          <w:sz w:val="24"/>
          <w:szCs w:val="24"/>
        </w:rPr>
        <w:t>Passaggio al futuro</w:t>
      </w:r>
      <w:r w:rsidRPr="00DD25FB">
        <w:rPr>
          <w:rFonts w:ascii="Arial" w:hAnsi="Arial" w:cs="Arial"/>
          <w:sz w:val="24"/>
          <w:szCs w:val="24"/>
        </w:rPr>
        <w:t xml:space="preserve">. </w:t>
      </w:r>
      <w:r w:rsidRPr="00DD25FB">
        <w:rPr>
          <w:rFonts w:ascii="Arial" w:hAnsi="Arial" w:cs="Arial"/>
          <w:i/>
          <w:iCs/>
          <w:sz w:val="24"/>
          <w:szCs w:val="24"/>
        </w:rPr>
        <w:t>Formazione e socializzazione tra vecchi e nuovi media</w:t>
      </w:r>
      <w:r w:rsidRPr="00DD25FB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Pr="00DD25FB">
        <w:rPr>
          <w:rFonts w:ascii="Arial" w:hAnsi="Arial" w:cs="Arial"/>
          <w:sz w:val="24"/>
          <w:szCs w:val="24"/>
          <w:lang w:val="it-IT"/>
        </w:rPr>
        <w:t>FrancoA</w:t>
      </w:r>
      <w:r w:rsidRPr="00DD25FB">
        <w:rPr>
          <w:rFonts w:ascii="Arial" w:hAnsi="Arial" w:cs="Arial"/>
          <w:sz w:val="24"/>
          <w:szCs w:val="24"/>
        </w:rPr>
        <w:t>ngeli</w:t>
      </w:r>
      <w:proofErr w:type="spellEnd"/>
      <w:r w:rsidRPr="00DD25FB">
        <w:rPr>
          <w:rFonts w:ascii="Arial" w:hAnsi="Arial" w:cs="Arial"/>
          <w:sz w:val="24"/>
          <w:szCs w:val="24"/>
          <w:lang w:val="it-IT"/>
        </w:rPr>
        <w:t>, Milano 1997</w:t>
      </w:r>
      <w:r w:rsidR="003B5BD9" w:rsidRPr="00DD25FB">
        <w:rPr>
          <w:rFonts w:ascii="Arial" w:hAnsi="Arial" w:cs="Arial"/>
          <w:sz w:val="24"/>
          <w:szCs w:val="24"/>
          <w:lang w:val="it-IT"/>
        </w:rPr>
        <w:t>;</w:t>
      </w:r>
    </w:p>
    <w:p w14:paraId="21B8729D" w14:textId="3C11AC3B" w:rsidR="00907C6B" w:rsidRPr="00DD25FB" w:rsidRDefault="00907C6B" w:rsidP="00667778">
      <w:pPr>
        <w:pStyle w:val="Corpodeltesto2"/>
        <w:ind w:right="0"/>
        <w:jc w:val="both"/>
        <w:rPr>
          <w:rFonts w:ascii="Arial" w:hAnsi="Arial" w:cs="Arial"/>
          <w:sz w:val="24"/>
          <w:szCs w:val="24"/>
          <w:lang w:val="it-IT"/>
        </w:rPr>
      </w:pPr>
    </w:p>
    <w:p w14:paraId="2882DB31" w14:textId="51899552" w:rsidR="00907C6B" w:rsidRDefault="00907C6B" w:rsidP="00FA7BAE">
      <w:pPr>
        <w:rPr>
          <w:rFonts w:ascii="Arial" w:hAnsi="Arial" w:cs="Arial"/>
          <w:sz w:val="24"/>
          <w:szCs w:val="24"/>
          <w:lang w:val="it-IT"/>
        </w:rPr>
      </w:pPr>
      <w:r w:rsidRPr="00DD25FB">
        <w:rPr>
          <w:rFonts w:ascii="Arial" w:hAnsi="Arial" w:cs="Arial"/>
          <w:i/>
          <w:iCs/>
          <w:sz w:val="24"/>
          <w:szCs w:val="24"/>
          <w:lang w:val="it-IT"/>
        </w:rPr>
        <w:t>L’obbligo del nuovo. Televisione e spettacolo tra innovazione e tradizione</w:t>
      </w:r>
      <w:r w:rsidRPr="00DD25FB">
        <w:rPr>
          <w:rFonts w:ascii="Arial" w:hAnsi="Arial" w:cs="Arial"/>
          <w:sz w:val="24"/>
          <w:szCs w:val="24"/>
          <w:lang w:val="it-IT"/>
        </w:rPr>
        <w:t>, Nuova Eri, Torino, 1989;</w:t>
      </w:r>
    </w:p>
    <w:p w14:paraId="70EA2CE2" w14:textId="77777777" w:rsidR="00DD25FB" w:rsidRPr="00DD25FB" w:rsidRDefault="00DD25FB" w:rsidP="00FA7BAE">
      <w:pPr>
        <w:rPr>
          <w:rFonts w:ascii="Arial" w:hAnsi="Arial" w:cs="Arial"/>
          <w:i/>
          <w:sz w:val="24"/>
          <w:szCs w:val="24"/>
          <w:lang w:val="it-IT"/>
        </w:rPr>
      </w:pPr>
    </w:p>
    <w:p w14:paraId="74FE1F97" w14:textId="18279D16" w:rsidR="00907C6B" w:rsidRPr="00DD25FB" w:rsidRDefault="00907C6B" w:rsidP="00FA7BAE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DD25FB">
        <w:rPr>
          <w:rFonts w:ascii="Arial" w:hAnsi="Arial" w:cs="Arial"/>
          <w:i/>
          <w:sz w:val="24"/>
          <w:szCs w:val="24"/>
          <w:lang w:val="it-IT"/>
        </w:rPr>
        <w:t>Lo spettacolo del consumo</w:t>
      </w:r>
      <w:r w:rsidRPr="00DD25FB">
        <w:rPr>
          <w:rFonts w:ascii="Arial" w:hAnsi="Arial" w:cs="Arial"/>
          <w:sz w:val="24"/>
          <w:szCs w:val="24"/>
          <w:lang w:val="it-IT"/>
        </w:rPr>
        <w:t>, FrancoAngeli, Milano, 1986.</w:t>
      </w:r>
    </w:p>
    <w:sectPr w:rsidR="00907C6B" w:rsidRPr="00DD25FB" w:rsidSect="00907C6B">
      <w:pgSz w:w="11906" w:h="16838"/>
      <w:pgMar w:top="0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C3B0" w14:textId="77777777" w:rsidR="00F84921" w:rsidRDefault="00F84921" w:rsidP="000B7454">
      <w:pPr>
        <w:spacing w:after="0" w:line="240" w:lineRule="auto"/>
      </w:pPr>
      <w:r>
        <w:separator/>
      </w:r>
    </w:p>
  </w:endnote>
  <w:endnote w:type="continuationSeparator" w:id="0">
    <w:p w14:paraId="274152BF" w14:textId="77777777" w:rsidR="00F84921" w:rsidRDefault="00F84921" w:rsidP="000B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9986" w14:textId="77777777" w:rsidR="00F84921" w:rsidRDefault="00F84921" w:rsidP="000B7454">
      <w:pPr>
        <w:spacing w:after="0" w:line="240" w:lineRule="auto"/>
      </w:pPr>
      <w:r>
        <w:separator/>
      </w:r>
    </w:p>
  </w:footnote>
  <w:footnote w:type="continuationSeparator" w:id="0">
    <w:p w14:paraId="3033CAFB" w14:textId="77777777" w:rsidR="00F84921" w:rsidRDefault="00F84921" w:rsidP="000B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67824"/>
    <w:multiLevelType w:val="hybridMultilevel"/>
    <w:tmpl w:val="E15AC6BC"/>
    <w:lvl w:ilvl="0" w:tplc="FEB0635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A40FD5"/>
    <w:multiLevelType w:val="hybridMultilevel"/>
    <w:tmpl w:val="2B301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B6F5B"/>
    <w:multiLevelType w:val="hybridMultilevel"/>
    <w:tmpl w:val="A65C9110"/>
    <w:lvl w:ilvl="0" w:tplc="D1B45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02407">
    <w:abstractNumId w:val="0"/>
  </w:num>
  <w:num w:numId="2" w16cid:durableId="130488552">
    <w:abstractNumId w:val="1"/>
  </w:num>
  <w:num w:numId="3" w16cid:durableId="5331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F6"/>
    <w:rsid w:val="00026A70"/>
    <w:rsid w:val="00043D93"/>
    <w:rsid w:val="000A242E"/>
    <w:rsid w:val="000B7454"/>
    <w:rsid w:val="000B748C"/>
    <w:rsid w:val="000C46A9"/>
    <w:rsid w:val="000E510F"/>
    <w:rsid w:val="0011392B"/>
    <w:rsid w:val="00115165"/>
    <w:rsid w:val="00115360"/>
    <w:rsid w:val="00147598"/>
    <w:rsid w:val="00147804"/>
    <w:rsid w:val="001C20F3"/>
    <w:rsid w:val="001E36AC"/>
    <w:rsid w:val="001F7B76"/>
    <w:rsid w:val="00210339"/>
    <w:rsid w:val="002348D0"/>
    <w:rsid w:val="002637BC"/>
    <w:rsid w:val="002C4AAD"/>
    <w:rsid w:val="002C5229"/>
    <w:rsid w:val="002D177D"/>
    <w:rsid w:val="002D47A5"/>
    <w:rsid w:val="002D71D4"/>
    <w:rsid w:val="002E7CEF"/>
    <w:rsid w:val="002F5814"/>
    <w:rsid w:val="00310D8B"/>
    <w:rsid w:val="00327915"/>
    <w:rsid w:val="00335064"/>
    <w:rsid w:val="00355316"/>
    <w:rsid w:val="0039593E"/>
    <w:rsid w:val="003B5BD9"/>
    <w:rsid w:val="00402183"/>
    <w:rsid w:val="00410CB7"/>
    <w:rsid w:val="00413AB5"/>
    <w:rsid w:val="004222B3"/>
    <w:rsid w:val="004573C8"/>
    <w:rsid w:val="00475948"/>
    <w:rsid w:val="004967DF"/>
    <w:rsid w:val="004B3B25"/>
    <w:rsid w:val="004D698C"/>
    <w:rsid w:val="004E427D"/>
    <w:rsid w:val="004E5775"/>
    <w:rsid w:val="00507A63"/>
    <w:rsid w:val="00556C00"/>
    <w:rsid w:val="00591B8A"/>
    <w:rsid w:val="005D2F21"/>
    <w:rsid w:val="0060262E"/>
    <w:rsid w:val="0064056C"/>
    <w:rsid w:val="00641D31"/>
    <w:rsid w:val="00667562"/>
    <w:rsid w:val="00667778"/>
    <w:rsid w:val="006C356E"/>
    <w:rsid w:val="006F3FE8"/>
    <w:rsid w:val="00700A62"/>
    <w:rsid w:val="007D56E8"/>
    <w:rsid w:val="007F4D78"/>
    <w:rsid w:val="00806A3D"/>
    <w:rsid w:val="00816716"/>
    <w:rsid w:val="00816987"/>
    <w:rsid w:val="008243B9"/>
    <w:rsid w:val="00844A48"/>
    <w:rsid w:val="008674BD"/>
    <w:rsid w:val="008D31CE"/>
    <w:rsid w:val="008D5E0B"/>
    <w:rsid w:val="00907C6B"/>
    <w:rsid w:val="00931803"/>
    <w:rsid w:val="009369C3"/>
    <w:rsid w:val="0098009A"/>
    <w:rsid w:val="009C10B7"/>
    <w:rsid w:val="009C5459"/>
    <w:rsid w:val="009F5C1D"/>
    <w:rsid w:val="00A564A3"/>
    <w:rsid w:val="00A64CE6"/>
    <w:rsid w:val="00A77BBC"/>
    <w:rsid w:val="00AA34F6"/>
    <w:rsid w:val="00AD2835"/>
    <w:rsid w:val="00AE20AF"/>
    <w:rsid w:val="00B759B7"/>
    <w:rsid w:val="00B75E84"/>
    <w:rsid w:val="00B87D4B"/>
    <w:rsid w:val="00BC620C"/>
    <w:rsid w:val="00BF691C"/>
    <w:rsid w:val="00C76F4F"/>
    <w:rsid w:val="00CA622B"/>
    <w:rsid w:val="00CC1CB4"/>
    <w:rsid w:val="00CC3C27"/>
    <w:rsid w:val="00D02DD7"/>
    <w:rsid w:val="00D1049F"/>
    <w:rsid w:val="00D44FBF"/>
    <w:rsid w:val="00D84E64"/>
    <w:rsid w:val="00D92EC8"/>
    <w:rsid w:val="00DB6AD3"/>
    <w:rsid w:val="00DC4D7B"/>
    <w:rsid w:val="00DD25FB"/>
    <w:rsid w:val="00DE3261"/>
    <w:rsid w:val="00DE77F9"/>
    <w:rsid w:val="00DF1B96"/>
    <w:rsid w:val="00E11C43"/>
    <w:rsid w:val="00E552F2"/>
    <w:rsid w:val="00E75BFB"/>
    <w:rsid w:val="00EC0EFC"/>
    <w:rsid w:val="00EC6A8C"/>
    <w:rsid w:val="00ED0A84"/>
    <w:rsid w:val="00ED1A86"/>
    <w:rsid w:val="00ED639F"/>
    <w:rsid w:val="00EE5BE7"/>
    <w:rsid w:val="00F0104B"/>
    <w:rsid w:val="00F8303E"/>
    <w:rsid w:val="00F84921"/>
    <w:rsid w:val="00FA7BAE"/>
    <w:rsid w:val="00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2C55"/>
  <w15:chartTrackingRefBased/>
  <w15:docId w15:val="{FB3CE5B1-CB2D-4B23-B05A-6EB3B54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454"/>
    <w:pPr>
      <w:spacing w:after="28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D84E6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CA622B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4E6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F1B96"/>
    <w:rPr>
      <w:b/>
      <w:bCs/>
    </w:rPr>
  </w:style>
  <w:style w:type="paragraph" w:styleId="Paragrafoelenco">
    <w:name w:val="List Paragraph"/>
    <w:basedOn w:val="Normale"/>
    <w:uiPriority w:val="34"/>
    <w:qFormat/>
    <w:rsid w:val="000B745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B745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7454"/>
    <w:rPr>
      <w:sz w:val="20"/>
      <w:szCs w:val="20"/>
    </w:rPr>
  </w:style>
  <w:style w:type="character" w:styleId="Rimandonotaapidipagina">
    <w:name w:val="footnote reference"/>
    <w:aliases w:val="Rimando nota a piè di pagina FSE,Footnote symbol,Voetnootverwijzing,Rimando nota a piè di pagina-IMONT,(Footnote Reference),SUPERS,Footnote reference number,Times 10 Point,Exposant 3 Point,EN Footnote Reference,note TESI"/>
    <w:basedOn w:val="Carpredefinitoparagrafo"/>
    <w:uiPriority w:val="99"/>
    <w:unhideWhenUsed/>
    <w:qFormat/>
    <w:rsid w:val="000B7454"/>
    <w:rPr>
      <w:vertAlign w:val="superscript"/>
    </w:rPr>
  </w:style>
  <w:style w:type="character" w:customStyle="1" w:styleId="Carpredefinitoparagrafo1">
    <w:name w:val="Car. predefinito paragrafo1"/>
    <w:rsid w:val="000B7454"/>
  </w:style>
  <w:style w:type="paragraph" w:styleId="Corpodeltesto2">
    <w:name w:val="Body Text 2"/>
    <w:basedOn w:val="Normale"/>
    <w:link w:val="Corpodeltesto2Carattere"/>
    <w:rsid w:val="00667778"/>
    <w:pPr>
      <w:spacing w:after="0" w:line="240" w:lineRule="auto"/>
      <w:ind w:left="0" w:right="1841" w:firstLine="0"/>
      <w:jc w:val="left"/>
    </w:pPr>
    <w:rPr>
      <w:color w:val="auto"/>
      <w:sz w:val="28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6677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43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284"/>
      <w:jc w:val="left"/>
    </w:pPr>
    <w:rPr>
      <w:rFonts w:eastAsia="ヒラギノ角ゴ Pro W3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3D93"/>
    <w:rPr>
      <w:rFonts w:ascii="Times New Roman" w:eastAsia="ヒラギノ角ゴ Pro W3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SBRANA</dc:creator>
  <cp:keywords/>
  <dc:description/>
  <cp:lastModifiedBy>FEDERICA SBRANA</cp:lastModifiedBy>
  <cp:revision>67</cp:revision>
  <cp:lastPrinted>2022-02-12T22:31:00Z</cp:lastPrinted>
  <dcterms:created xsi:type="dcterms:W3CDTF">2022-09-25T15:06:00Z</dcterms:created>
  <dcterms:modified xsi:type="dcterms:W3CDTF">2024-07-04T09:51:00Z</dcterms:modified>
</cp:coreProperties>
</file>